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2" w:rsidRPr="008E59F2" w:rsidRDefault="00D62882" w:rsidP="002F379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E59F2" w:rsidRPr="008E59F2" w:rsidRDefault="008E59F2" w:rsidP="008E59F2">
      <w:pPr>
        <w:tabs>
          <w:tab w:val="left" w:pos="8640"/>
        </w:tabs>
        <w:spacing w:after="0" w:line="240" w:lineRule="auto"/>
        <w:rPr>
          <w:rFonts w:ascii="Arial" w:hAnsi="Arial" w:cs="Arial"/>
          <w:sz w:val="20"/>
        </w:rPr>
      </w:pPr>
      <w:r w:rsidRPr="008E59F2">
        <w:rPr>
          <w:rFonts w:ascii="Tahoma" w:hAnsi="Tahoma" w:cs="Tahoma"/>
          <w:b/>
          <w:sz w:val="40"/>
          <w:szCs w:val="40"/>
        </w:rPr>
        <w:t xml:space="preserve">Extended-Response </w:t>
      </w:r>
      <w:r w:rsidR="00295B88">
        <w:rPr>
          <w:rFonts w:ascii="Tahoma" w:hAnsi="Tahoma" w:cs="Tahoma"/>
          <w:b/>
          <w:sz w:val="40"/>
          <w:szCs w:val="40"/>
        </w:rPr>
        <w:t xml:space="preserve">Vacation HW </w:t>
      </w:r>
      <w:r>
        <w:rPr>
          <w:rFonts w:ascii="Tahoma" w:hAnsi="Tahoma" w:cs="Tahoma"/>
          <w:b/>
          <w:sz w:val="40"/>
          <w:szCs w:val="40"/>
        </w:rPr>
        <w:tab/>
      </w:r>
    </w:p>
    <w:p w:rsidR="008E59F2" w:rsidRPr="008E59F2" w:rsidRDefault="008E59F2" w:rsidP="002F3790">
      <w:pPr>
        <w:spacing w:after="0" w:line="240" w:lineRule="auto"/>
        <w:rPr>
          <w:rFonts w:ascii="Arial" w:hAnsi="Arial" w:cs="Arial"/>
          <w:sz w:val="20"/>
        </w:rPr>
      </w:pPr>
    </w:p>
    <w:p w:rsidR="008E59F2" w:rsidRDefault="008E59F2" w:rsidP="008E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E59F2">
        <w:rPr>
          <w:rFonts w:ascii="Times New Roman" w:hAnsi="Times New Roman"/>
          <w:b/>
          <w:bCs/>
        </w:rPr>
        <w:t>Demonstrate your knowledge by giving a clear, concise solution to each problem.</w:t>
      </w:r>
      <w:r>
        <w:rPr>
          <w:rFonts w:ascii="Times New Roman" w:hAnsi="Times New Roman"/>
          <w:b/>
          <w:bCs/>
        </w:rPr>
        <w:t xml:space="preserve"> </w:t>
      </w:r>
      <w:r w:rsidRPr="008E59F2">
        <w:rPr>
          <w:rFonts w:ascii="Times New Roman" w:hAnsi="Times New Roman"/>
          <w:b/>
          <w:bCs/>
        </w:rPr>
        <w:t>Be sure to include all relevant drawings and justify your answers. You may show</w:t>
      </w:r>
      <w:r>
        <w:rPr>
          <w:rFonts w:ascii="Times New Roman" w:hAnsi="Times New Roman"/>
          <w:b/>
          <w:bCs/>
        </w:rPr>
        <w:t xml:space="preserve"> </w:t>
      </w:r>
      <w:r w:rsidRPr="008E59F2">
        <w:rPr>
          <w:rFonts w:ascii="Times New Roman" w:hAnsi="Times New Roman"/>
          <w:b/>
          <w:bCs/>
        </w:rPr>
        <w:t>your solution in more than one way or investigate beyond the requirements of</w:t>
      </w:r>
      <w:r>
        <w:rPr>
          <w:rFonts w:ascii="Times New Roman" w:hAnsi="Times New Roman"/>
          <w:b/>
          <w:bCs/>
        </w:rPr>
        <w:t xml:space="preserve"> </w:t>
      </w:r>
      <w:r w:rsidRPr="008E59F2">
        <w:rPr>
          <w:rFonts w:ascii="Times New Roman" w:hAnsi="Times New Roman"/>
          <w:b/>
          <w:bCs/>
        </w:rPr>
        <w:t xml:space="preserve">the problem. </w:t>
      </w:r>
    </w:p>
    <w:p w:rsidR="00295B88" w:rsidRPr="008E59F2" w:rsidRDefault="00295B88" w:rsidP="008E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5B88" w:rsidRPr="00295B88" w:rsidRDefault="008E59F2" w:rsidP="00295B88">
      <w:pPr>
        <w:pStyle w:val="ListParagraph"/>
        <w:numPr>
          <w:ilvl w:val="0"/>
          <w:numId w:val="29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5B88">
        <w:rPr>
          <w:rFonts w:ascii="Times New Roman" w:hAnsi="Times New Roman"/>
        </w:rPr>
        <w:t xml:space="preserve">A furniture store offers a certain amount of money off of a future purchase that is proportional to the amount spent in the store. Suppose </w:t>
      </w:r>
      <w:proofErr w:type="spellStart"/>
      <w:r w:rsidRPr="00295B88">
        <w:rPr>
          <w:rFonts w:ascii="Times New Roman" w:hAnsi="Times New Roman"/>
        </w:rPr>
        <w:t>Tenecia</w:t>
      </w:r>
      <w:proofErr w:type="spellEnd"/>
      <w:r w:rsidRPr="00295B88">
        <w:rPr>
          <w:rFonts w:ascii="Times New Roman" w:hAnsi="Times New Roman"/>
        </w:rPr>
        <w:t xml:space="preserve"> has $2000 to spend on new furniture.</w:t>
      </w:r>
    </w:p>
    <w:p w:rsidR="008E59F2" w:rsidRPr="008E59F2" w:rsidRDefault="008E59F2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9F2" w:rsidRDefault="0094622A" w:rsidP="009F02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590" w:hanging="59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E59F2" w:rsidRPr="008E59F2">
        <w:rPr>
          <w:rFonts w:ascii="Times New Roman" w:hAnsi="Times New Roman"/>
          <w:b/>
          <w:bCs/>
        </w:rPr>
        <w:t xml:space="preserve">a. </w:t>
      </w:r>
      <w:r w:rsidR="008E59F2" w:rsidRPr="00295B88">
        <w:rPr>
          <w:rFonts w:ascii="Times New Roman" w:hAnsi="Times New Roman"/>
          <w:b/>
        </w:rPr>
        <w:t xml:space="preserve">Complete the table </w:t>
      </w:r>
      <w:r w:rsidR="008E59F2" w:rsidRPr="008E59F2">
        <w:rPr>
          <w:rFonts w:ascii="Times New Roman" w:hAnsi="Times New Roman"/>
        </w:rPr>
        <w:t>to show how much savings on future purchases</w:t>
      </w:r>
      <w:r w:rsidR="008E59F2">
        <w:rPr>
          <w:rFonts w:ascii="Times New Roman" w:hAnsi="Times New Roman"/>
        </w:rPr>
        <w:t xml:space="preserve"> </w:t>
      </w:r>
      <w:proofErr w:type="spellStart"/>
      <w:r w:rsidR="008E59F2" w:rsidRPr="008E59F2">
        <w:rPr>
          <w:rFonts w:ascii="Times New Roman" w:hAnsi="Times New Roman"/>
        </w:rPr>
        <w:t>Tenecia</w:t>
      </w:r>
      <w:proofErr w:type="spellEnd"/>
      <w:r w:rsidR="008E59F2" w:rsidRPr="008E59F2">
        <w:rPr>
          <w:rFonts w:ascii="Times New Roman" w:hAnsi="Times New Roman"/>
        </w:rPr>
        <w:t xml:space="preserve"> would receive for different possible amounts spent on furniture.</w:t>
      </w:r>
    </w:p>
    <w:p w:rsidR="00E25E98" w:rsidRPr="008E59F2" w:rsidRDefault="00E25E98" w:rsidP="009F02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590" w:hanging="590"/>
        <w:rPr>
          <w:rFonts w:ascii="Times New Roman" w:hAnsi="Times New Roman"/>
        </w:rPr>
      </w:pPr>
    </w:p>
    <w:tbl>
      <w:tblPr>
        <w:tblStyle w:val="TableGrid"/>
        <w:tblW w:w="0" w:type="auto"/>
        <w:tblInd w:w="208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610"/>
      </w:tblGrid>
      <w:tr w:rsidR="00E25E98" w:rsidRPr="00E25E98" w:rsidTr="00E25E98"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E25E98" w:rsidRPr="00E25E98" w:rsidRDefault="00E25E98" w:rsidP="00E2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E98">
              <w:rPr>
                <w:rFonts w:ascii="Arial" w:hAnsi="Arial" w:cs="Arial"/>
                <w:b/>
                <w:bCs/>
                <w:sz w:val="20"/>
                <w:szCs w:val="20"/>
              </w:rPr>
              <w:t>Amount Spent on</w:t>
            </w:r>
          </w:p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8">
              <w:rPr>
                <w:rFonts w:ascii="Arial" w:hAnsi="Arial" w:cs="Arial"/>
                <w:b/>
                <w:bCs/>
                <w:sz w:val="20"/>
                <w:szCs w:val="20"/>
              </w:rPr>
              <w:t>Furniture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E25E98" w:rsidRPr="00E25E98" w:rsidRDefault="00E25E98" w:rsidP="00E2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E98">
              <w:rPr>
                <w:rFonts w:ascii="Arial" w:hAnsi="Arial" w:cs="Arial"/>
                <w:b/>
                <w:bCs/>
                <w:sz w:val="20"/>
                <w:szCs w:val="20"/>
              </w:rPr>
              <w:t>Savings on</w:t>
            </w:r>
          </w:p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8">
              <w:rPr>
                <w:rFonts w:ascii="Arial" w:hAnsi="Arial" w:cs="Arial"/>
                <w:b/>
                <w:bCs/>
                <w:sz w:val="20"/>
                <w:szCs w:val="20"/>
              </w:rPr>
              <w:t>Future Purchase</w:t>
            </w:r>
          </w:p>
        </w:tc>
      </w:tr>
      <w:tr w:rsidR="00E25E98" w:rsidRPr="00E25E98" w:rsidTr="00E25E98">
        <w:tc>
          <w:tcPr>
            <w:tcW w:w="252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8"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261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8">
              <w:rPr>
                <w:rFonts w:ascii="Arial" w:hAnsi="Arial" w:cs="Arial"/>
                <w:sz w:val="20"/>
                <w:szCs w:val="20"/>
              </w:rPr>
              <w:t>$48</w:t>
            </w:r>
          </w:p>
        </w:tc>
      </w:tr>
      <w:tr w:rsidR="00E25E98" w:rsidRPr="00E25E98" w:rsidTr="00E25E98">
        <w:tc>
          <w:tcPr>
            <w:tcW w:w="252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8">
              <w:rPr>
                <w:rFonts w:ascii="Arial" w:hAnsi="Arial" w:cs="Arial"/>
                <w:sz w:val="20"/>
                <w:szCs w:val="20"/>
              </w:rPr>
              <w:t>$800</w:t>
            </w:r>
          </w:p>
        </w:tc>
        <w:tc>
          <w:tcPr>
            <w:tcW w:w="261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98" w:rsidRPr="00E25E98" w:rsidTr="00E25E98">
        <w:tc>
          <w:tcPr>
            <w:tcW w:w="252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8">
              <w:rPr>
                <w:rFonts w:ascii="Arial" w:hAnsi="Arial" w:cs="Arial"/>
                <w:sz w:val="20"/>
                <w:szCs w:val="20"/>
              </w:rPr>
              <w:t>$1200</w:t>
            </w:r>
          </w:p>
        </w:tc>
        <w:tc>
          <w:tcPr>
            <w:tcW w:w="261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98" w:rsidRPr="00E25E98" w:rsidTr="00E25E98">
        <w:tc>
          <w:tcPr>
            <w:tcW w:w="252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8">
              <w:rPr>
                <w:rFonts w:ascii="Arial" w:hAnsi="Arial" w:cs="Arial"/>
                <w:sz w:val="20"/>
                <w:szCs w:val="20"/>
              </w:rPr>
              <w:t>$1600</w:t>
            </w:r>
          </w:p>
        </w:tc>
        <w:tc>
          <w:tcPr>
            <w:tcW w:w="261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98" w:rsidRPr="00E25E98" w:rsidTr="00E25E98">
        <w:tc>
          <w:tcPr>
            <w:tcW w:w="252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8">
              <w:rPr>
                <w:rFonts w:ascii="Arial" w:hAnsi="Arial" w:cs="Arial"/>
                <w:sz w:val="20"/>
                <w:szCs w:val="20"/>
              </w:rPr>
              <w:t>$2000</w:t>
            </w:r>
          </w:p>
        </w:tc>
        <w:tc>
          <w:tcPr>
            <w:tcW w:w="2610" w:type="dxa"/>
            <w:vAlign w:val="center"/>
          </w:tcPr>
          <w:p w:rsidR="00E25E98" w:rsidRPr="00E25E98" w:rsidRDefault="00E25E98" w:rsidP="00E25E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59F2" w:rsidRPr="008E59F2" w:rsidRDefault="008E59F2" w:rsidP="0094622A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8E59F2" w:rsidRDefault="0094622A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E59F2" w:rsidRPr="008E59F2">
        <w:rPr>
          <w:rFonts w:ascii="Times New Roman" w:hAnsi="Times New Roman"/>
          <w:b/>
          <w:bCs/>
        </w:rPr>
        <w:t xml:space="preserve">b. </w:t>
      </w:r>
      <w:r w:rsidR="008E59F2" w:rsidRPr="008E59F2">
        <w:rPr>
          <w:rFonts w:ascii="Times New Roman" w:hAnsi="Times New Roman"/>
        </w:rPr>
        <w:t xml:space="preserve">Write the ratio of savings to amount spent as a fraction in </w:t>
      </w:r>
      <w:r w:rsidR="008E59F2" w:rsidRPr="00295B88">
        <w:rPr>
          <w:rFonts w:ascii="Times New Roman" w:hAnsi="Times New Roman"/>
          <w:b/>
        </w:rPr>
        <w:t>simplest form.</w:t>
      </w:r>
    </w:p>
    <w:p w:rsidR="00295B88" w:rsidRDefault="00295B88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5B88" w:rsidRDefault="00295B88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5B88" w:rsidRPr="008E59F2" w:rsidRDefault="00295B88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9F2" w:rsidRDefault="008E59F2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59F2" w:rsidRDefault="0094622A" w:rsidP="009F02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E59F2" w:rsidRPr="008E59F2">
        <w:rPr>
          <w:rFonts w:ascii="Times New Roman" w:hAnsi="Times New Roman"/>
          <w:b/>
          <w:bCs/>
        </w:rPr>
        <w:t xml:space="preserve">c. </w:t>
      </w:r>
      <w:proofErr w:type="spellStart"/>
      <w:r w:rsidR="008E59F2" w:rsidRPr="008E59F2">
        <w:rPr>
          <w:rFonts w:ascii="Times New Roman" w:hAnsi="Times New Roman"/>
        </w:rPr>
        <w:t>Tenecia</w:t>
      </w:r>
      <w:proofErr w:type="spellEnd"/>
      <w:r w:rsidR="008E59F2" w:rsidRPr="008E59F2">
        <w:rPr>
          <w:rFonts w:ascii="Times New Roman" w:hAnsi="Times New Roman"/>
        </w:rPr>
        <w:t xml:space="preserve"> finds a sofa she would like to buy for $900. </w:t>
      </w:r>
      <w:proofErr w:type="spellStart"/>
      <w:r w:rsidR="008E59F2" w:rsidRPr="008E59F2">
        <w:rPr>
          <w:rFonts w:ascii="Times New Roman" w:hAnsi="Times New Roman"/>
        </w:rPr>
        <w:t>Tenecia</w:t>
      </w:r>
      <w:proofErr w:type="spellEnd"/>
      <w:r w:rsidR="008E59F2" w:rsidRPr="008E59F2">
        <w:rPr>
          <w:rFonts w:ascii="Times New Roman" w:hAnsi="Times New Roman"/>
        </w:rPr>
        <w:t xml:space="preserve"> thinks</w:t>
      </w:r>
      <w:r w:rsidR="008E59F2">
        <w:rPr>
          <w:rFonts w:ascii="Times New Roman" w:hAnsi="Times New Roman"/>
        </w:rPr>
        <w:t xml:space="preserve"> </w:t>
      </w:r>
      <w:r w:rsidR="008E59F2" w:rsidRPr="008E59F2">
        <w:rPr>
          <w:rFonts w:ascii="Times New Roman" w:hAnsi="Times New Roman"/>
        </w:rPr>
        <w:t>her savings on a future purchase will be $108. Is she correct? Explain.</w:t>
      </w:r>
    </w:p>
    <w:p w:rsidR="008E59F2" w:rsidRDefault="008E59F2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E1C61" w:rsidRPr="008E59F2" w:rsidRDefault="006E1C61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9F2" w:rsidRDefault="0094622A" w:rsidP="009F02CB">
      <w:pPr>
        <w:tabs>
          <w:tab w:val="left" w:pos="1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E59F2" w:rsidRPr="008E59F2">
        <w:rPr>
          <w:rFonts w:ascii="Times New Roman" w:hAnsi="Times New Roman"/>
          <w:b/>
          <w:bCs/>
        </w:rPr>
        <w:t xml:space="preserve">2. </w:t>
      </w:r>
      <w:r w:rsidR="008E59F2" w:rsidRPr="008E59F2">
        <w:rPr>
          <w:rFonts w:ascii="Times New Roman" w:hAnsi="Times New Roman"/>
        </w:rPr>
        <w:t xml:space="preserve">The directions on a barrel of fertilizer indicate that </w:t>
      </w:r>
      <w:proofErr w:type="gramStart"/>
      <w:r w:rsidR="008E59F2" w:rsidRPr="008E59F2">
        <w:rPr>
          <w:rFonts w:ascii="Times New Roman" w:hAnsi="Times New Roman"/>
        </w:rPr>
        <w:t>one barrel</w:t>
      </w:r>
      <w:proofErr w:type="gramEnd"/>
      <w:r w:rsidR="008E59F2" w:rsidRPr="008E59F2">
        <w:rPr>
          <w:rFonts w:ascii="Times New Roman" w:hAnsi="Times New Roman"/>
        </w:rPr>
        <w:t xml:space="preserve"> is enough to</w:t>
      </w:r>
      <w:r w:rsidR="008E59F2">
        <w:rPr>
          <w:rFonts w:ascii="Times New Roman" w:hAnsi="Times New Roman"/>
        </w:rPr>
        <w:t xml:space="preserve"> </w:t>
      </w:r>
      <w:r w:rsidR="008E59F2" w:rsidRPr="008E59F2">
        <w:rPr>
          <w:rFonts w:ascii="Times New Roman" w:hAnsi="Times New Roman"/>
        </w:rPr>
        <w:t xml:space="preserve">fertilize 1.5 acres. </w:t>
      </w:r>
      <w:r w:rsidR="008E59F2" w:rsidRPr="00295B88">
        <w:rPr>
          <w:rFonts w:ascii="Times New Roman" w:hAnsi="Times New Roman"/>
          <w:b/>
        </w:rPr>
        <w:t>Explain how to find</w:t>
      </w:r>
      <w:r w:rsidR="008E59F2" w:rsidRPr="008E59F2">
        <w:rPr>
          <w:rFonts w:ascii="Times New Roman" w:hAnsi="Times New Roman"/>
        </w:rPr>
        <w:t xml:space="preserve"> </w:t>
      </w:r>
      <w:r w:rsidR="00295B88" w:rsidRPr="00295B88">
        <w:rPr>
          <w:rFonts w:ascii="Times New Roman" w:hAnsi="Times New Roman"/>
          <w:b/>
        </w:rPr>
        <w:t xml:space="preserve">AND </w:t>
      </w:r>
      <w:r w:rsidR="00295B88">
        <w:rPr>
          <w:rFonts w:ascii="Times New Roman" w:hAnsi="Times New Roman"/>
          <w:b/>
        </w:rPr>
        <w:t xml:space="preserve">find </w:t>
      </w:r>
      <w:r w:rsidR="008E59F2" w:rsidRPr="008E59F2">
        <w:rPr>
          <w:rFonts w:ascii="Times New Roman" w:hAnsi="Times New Roman"/>
        </w:rPr>
        <w:t>the number of barrels of fertilizer</w:t>
      </w:r>
      <w:r w:rsidR="008E59F2">
        <w:rPr>
          <w:rFonts w:ascii="Times New Roman" w:hAnsi="Times New Roman"/>
        </w:rPr>
        <w:t xml:space="preserve"> </w:t>
      </w:r>
      <w:r w:rsidR="008E59F2" w:rsidRPr="008E59F2">
        <w:rPr>
          <w:rFonts w:ascii="Times New Roman" w:hAnsi="Times New Roman"/>
        </w:rPr>
        <w:t>needed for 42 acres.</w:t>
      </w:r>
    </w:p>
    <w:p w:rsidR="008E59F2" w:rsidRDefault="008E59F2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5B88" w:rsidRDefault="00295B88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5B88" w:rsidRDefault="00295B88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9F2" w:rsidRDefault="008E59F2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E1C61" w:rsidRPr="008E59F2" w:rsidRDefault="006E1C61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9F2" w:rsidRDefault="0094622A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95B88">
        <w:rPr>
          <w:rFonts w:ascii="Times New Roman" w:hAnsi="Times New Roman"/>
          <w:b/>
          <w:bCs/>
        </w:rPr>
        <w:t>3</w:t>
      </w:r>
      <w:r w:rsidR="008E59F2" w:rsidRPr="008E59F2">
        <w:rPr>
          <w:rFonts w:ascii="Times New Roman" w:hAnsi="Times New Roman"/>
          <w:b/>
          <w:bCs/>
        </w:rPr>
        <w:t xml:space="preserve">. </w:t>
      </w:r>
      <w:r w:rsidR="008E59F2" w:rsidRPr="008E59F2">
        <w:rPr>
          <w:rFonts w:ascii="Times New Roman" w:hAnsi="Times New Roman"/>
        </w:rPr>
        <w:t>A telemarketing group sells, on average, one newspaper subscription for every</w:t>
      </w:r>
      <w:r w:rsidR="008E59F2">
        <w:rPr>
          <w:rFonts w:ascii="Times New Roman" w:hAnsi="Times New Roman"/>
        </w:rPr>
        <w:t xml:space="preserve"> </w:t>
      </w:r>
      <w:r w:rsidR="008E59F2" w:rsidRPr="008E59F2">
        <w:rPr>
          <w:rFonts w:ascii="Times New Roman" w:hAnsi="Times New Roman"/>
        </w:rPr>
        <w:t>35 people they call.</w:t>
      </w:r>
    </w:p>
    <w:p w:rsidR="008E59F2" w:rsidRPr="008E59F2" w:rsidRDefault="008E59F2" w:rsidP="0094622A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9F2" w:rsidRPr="00295B88" w:rsidRDefault="008E59F2" w:rsidP="00295B88">
      <w:pPr>
        <w:pStyle w:val="ListParagraph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5B88">
        <w:rPr>
          <w:rFonts w:ascii="Times New Roman" w:hAnsi="Times New Roman"/>
        </w:rPr>
        <w:t>If the group calls 700 people in one month, how many subscriptions would they expect to sell?</w:t>
      </w:r>
    </w:p>
    <w:p w:rsidR="00295B88" w:rsidRDefault="00295B88" w:rsidP="00295B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5B88" w:rsidRDefault="00295B88" w:rsidP="00295B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5B88" w:rsidRPr="00295B88" w:rsidRDefault="00295B88" w:rsidP="00295B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9F2" w:rsidRPr="008E59F2" w:rsidRDefault="008E59F2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9F2" w:rsidRDefault="0094622A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E59F2" w:rsidRPr="008E59F2">
        <w:rPr>
          <w:rFonts w:ascii="Times New Roman" w:hAnsi="Times New Roman"/>
          <w:b/>
          <w:bCs/>
        </w:rPr>
        <w:t xml:space="preserve">b. </w:t>
      </w:r>
      <w:r w:rsidR="008E59F2" w:rsidRPr="008E59F2">
        <w:rPr>
          <w:rFonts w:ascii="Times New Roman" w:hAnsi="Times New Roman"/>
        </w:rPr>
        <w:t>How many calls should the group make to reach a monthly sales goal of</w:t>
      </w:r>
      <w:r w:rsidR="008E59F2">
        <w:rPr>
          <w:rFonts w:ascii="Times New Roman" w:hAnsi="Times New Roman"/>
        </w:rPr>
        <w:t xml:space="preserve"> </w:t>
      </w:r>
      <w:r w:rsidR="008E59F2" w:rsidRPr="008E59F2">
        <w:rPr>
          <w:rFonts w:ascii="Times New Roman" w:hAnsi="Times New Roman"/>
        </w:rPr>
        <w:t>300 subscriptions?</w:t>
      </w:r>
    </w:p>
    <w:p w:rsid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56" w:rsidRP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56" w:rsidRPr="00AC745D" w:rsidRDefault="00CA4956" w:rsidP="00AC745D">
      <w:pPr>
        <w:tabs>
          <w:tab w:val="left" w:pos="36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AC745D">
        <w:rPr>
          <w:rFonts w:ascii="Tahoma" w:hAnsi="Tahoma" w:cs="Tahoma"/>
          <w:b/>
          <w:sz w:val="40"/>
          <w:szCs w:val="40"/>
        </w:rPr>
        <w:t>Extended-Response Rubric</w:t>
      </w:r>
      <w:r w:rsidR="00AC745D">
        <w:rPr>
          <w:rFonts w:ascii="Tahoma" w:hAnsi="Tahoma" w:cs="Tahoma"/>
          <w:b/>
          <w:sz w:val="40"/>
          <w:szCs w:val="40"/>
        </w:rPr>
        <w:tab/>
      </w:r>
      <w:r w:rsidRPr="00AC745D">
        <w:rPr>
          <w:rFonts w:ascii="Arial" w:hAnsi="Arial" w:cs="Arial"/>
          <w:sz w:val="20"/>
        </w:rPr>
        <w:t>SCORE ___________</w:t>
      </w:r>
    </w:p>
    <w:p w:rsidR="00CA4956" w:rsidRP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9090"/>
      </w:tblGrid>
      <w:tr w:rsidR="00CA4956" w:rsidRPr="00CA4956" w:rsidTr="000A58EC"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CA4956" w:rsidRPr="00CA4956" w:rsidRDefault="00CA4956" w:rsidP="000A58E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  <w:b/>
                <w:bCs/>
              </w:rPr>
              <w:t>Score</w:t>
            </w:r>
          </w:p>
        </w:tc>
        <w:tc>
          <w:tcPr>
            <w:tcW w:w="9090" w:type="dxa"/>
            <w:shd w:val="clear" w:color="auto" w:fill="BFBFBF" w:themeFill="background1" w:themeFillShade="BF"/>
            <w:vAlign w:val="center"/>
          </w:tcPr>
          <w:p w:rsidR="00CA4956" w:rsidRPr="00CA4956" w:rsidRDefault="00CA4956" w:rsidP="000A58E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  <w:b/>
                <w:bCs/>
              </w:rPr>
              <w:t>Description</w:t>
            </w:r>
          </w:p>
        </w:tc>
      </w:tr>
      <w:tr w:rsidR="00CA4956" w:rsidRPr="00CA4956" w:rsidTr="000A58EC">
        <w:tc>
          <w:tcPr>
            <w:tcW w:w="1710" w:type="dxa"/>
            <w:vAlign w:val="center"/>
          </w:tcPr>
          <w:p w:rsidR="00CA4956" w:rsidRPr="00CA4956" w:rsidRDefault="00CA4956" w:rsidP="000A58E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495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090" w:type="dxa"/>
          </w:tcPr>
          <w:p w:rsidR="00CA4956" w:rsidRDefault="00CA4956" w:rsidP="00CA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</w:rPr>
              <w:t>A score of four is a response in which the student demonstrates a thorough understanding of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the mathematics concepts and/or procedures embodied in the task. The student has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responded correctly to the task, used mathematically sound procedures, and provided clear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and complete explanations and interpretations.</w:t>
            </w:r>
          </w:p>
          <w:p w:rsidR="00AC745D" w:rsidRPr="00CA4956" w:rsidRDefault="00AC745D" w:rsidP="00CA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A4956" w:rsidRPr="00CA4956" w:rsidRDefault="00CA4956" w:rsidP="00AC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4956">
              <w:rPr>
                <w:rFonts w:ascii="Times New Roman" w:hAnsi="Times New Roman"/>
              </w:rPr>
              <w:t>The response may contain minor flaws that do not detract from the demonstration of a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thorough understanding.</w:t>
            </w:r>
          </w:p>
        </w:tc>
      </w:tr>
      <w:tr w:rsidR="00CA4956" w:rsidRPr="00CA4956" w:rsidTr="000A58EC">
        <w:tc>
          <w:tcPr>
            <w:tcW w:w="1710" w:type="dxa"/>
            <w:vAlign w:val="center"/>
          </w:tcPr>
          <w:p w:rsidR="00CA4956" w:rsidRPr="00CA4956" w:rsidRDefault="00CA4956" w:rsidP="000A58E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495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090" w:type="dxa"/>
          </w:tcPr>
          <w:p w:rsidR="00CA4956" w:rsidRDefault="00CA4956" w:rsidP="00CA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</w:rPr>
              <w:t>A score of three is a response in which the student demonstrates an understanding of the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mathematics concepts and/or procedures embodied in the task. The student’s response to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the task is essentially correct with the mathematical procedures used and the explanations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and interpretations provided demonstrating an essential but less than thorough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understanding.</w:t>
            </w:r>
          </w:p>
          <w:p w:rsidR="00AC745D" w:rsidRPr="00CA4956" w:rsidRDefault="00AC745D" w:rsidP="00CA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A4956" w:rsidRPr="00CA4956" w:rsidRDefault="00CA4956" w:rsidP="00AC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</w:rPr>
              <w:t>The response may contain minor flaws that reflect inattentive execution of mathematical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procedures or indications of some misunderstanding of the underlying mathematics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concepts and/or procedures.</w:t>
            </w:r>
          </w:p>
        </w:tc>
      </w:tr>
      <w:tr w:rsidR="00CA4956" w:rsidRPr="00CA4956" w:rsidTr="000A58EC">
        <w:tc>
          <w:tcPr>
            <w:tcW w:w="1710" w:type="dxa"/>
            <w:vAlign w:val="center"/>
          </w:tcPr>
          <w:p w:rsidR="00CA4956" w:rsidRPr="00CA4956" w:rsidRDefault="00CA4956" w:rsidP="000A58E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495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090" w:type="dxa"/>
          </w:tcPr>
          <w:p w:rsidR="00CA4956" w:rsidRDefault="00CA4956" w:rsidP="00CA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</w:rPr>
              <w:t>A score of two indicates that the student has demonstrated only a partial understanding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of the mathematics concepts and/or procedures embodied in the task. Although the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student may have used the correct approach to obtaining a solution or may have provided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a correct solution, the student’s work lacks an essential understanding of the underlying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mathematical concepts.</w:t>
            </w:r>
          </w:p>
          <w:p w:rsidR="00AC745D" w:rsidRPr="00CA4956" w:rsidRDefault="00AC745D" w:rsidP="00CA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A4956" w:rsidRPr="00CA4956" w:rsidRDefault="00CA4956" w:rsidP="00AC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</w:rPr>
              <w:t>The response contains errors related to misunderstanding important aspects of the task,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misuse of mathematical procedures, or faulty interpretations of results.</w:t>
            </w:r>
          </w:p>
        </w:tc>
      </w:tr>
      <w:tr w:rsidR="00CA4956" w:rsidRPr="00CA4956" w:rsidTr="000A58EC">
        <w:tc>
          <w:tcPr>
            <w:tcW w:w="1710" w:type="dxa"/>
            <w:vAlign w:val="center"/>
          </w:tcPr>
          <w:p w:rsidR="00CA4956" w:rsidRPr="00CA4956" w:rsidRDefault="00CA4956" w:rsidP="000A58E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495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90" w:type="dxa"/>
          </w:tcPr>
          <w:p w:rsidR="00CA4956" w:rsidRDefault="00CA4956" w:rsidP="00CA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</w:rPr>
              <w:t>A score of one indicates that the student has demonstrated a very limited understanding of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the mathematics concepts and/or procedures embodied in the task. The student’s response is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incomplete and exhibits many flaws. Although the student’s response has addressed some of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the conditions of the task, the student reached an inadequate conclusion and/or provided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reasoning that was faulty or incomplete.</w:t>
            </w:r>
          </w:p>
          <w:p w:rsidR="00AC745D" w:rsidRPr="00CA4956" w:rsidRDefault="00AC745D" w:rsidP="00CA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A4956" w:rsidRPr="00CA4956" w:rsidRDefault="00CA4956" w:rsidP="00CA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</w:rPr>
              <w:t>The response exhibits many flaws or may be incomplete.</w:t>
            </w:r>
          </w:p>
        </w:tc>
      </w:tr>
      <w:tr w:rsidR="00CA4956" w:rsidRPr="00CA4956" w:rsidTr="000A58EC">
        <w:tc>
          <w:tcPr>
            <w:tcW w:w="1710" w:type="dxa"/>
            <w:vAlign w:val="center"/>
          </w:tcPr>
          <w:p w:rsidR="00CA4956" w:rsidRPr="00CA4956" w:rsidRDefault="00CA4956" w:rsidP="000A58E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495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90" w:type="dxa"/>
          </w:tcPr>
          <w:p w:rsidR="00CA4956" w:rsidRPr="00CA4956" w:rsidRDefault="00CA4956" w:rsidP="00AC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4956">
              <w:rPr>
                <w:rFonts w:ascii="Times New Roman" w:hAnsi="Times New Roman"/>
              </w:rPr>
              <w:t>A score of zero indicates that the student has provided no response at all, or a completely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 xml:space="preserve">incorrect or </w:t>
            </w:r>
            <w:proofErr w:type="spellStart"/>
            <w:r w:rsidRPr="00CA4956">
              <w:rPr>
                <w:rFonts w:ascii="Times New Roman" w:hAnsi="Times New Roman"/>
              </w:rPr>
              <w:t>uninterpretable</w:t>
            </w:r>
            <w:proofErr w:type="spellEnd"/>
            <w:r w:rsidRPr="00CA4956">
              <w:rPr>
                <w:rFonts w:ascii="Times New Roman" w:hAnsi="Times New Roman"/>
              </w:rPr>
              <w:t xml:space="preserve"> response, or demonstrated insufficient understanding of the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mathematics concepts and/or procedures embodied in the task. For example, a student may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provide some work that is mathematically correct, but the work does not demonstrate even a</w:t>
            </w:r>
            <w:r w:rsidR="00AC745D">
              <w:rPr>
                <w:rFonts w:ascii="Times New Roman" w:hAnsi="Times New Roman"/>
              </w:rPr>
              <w:t xml:space="preserve"> </w:t>
            </w:r>
            <w:r w:rsidRPr="00CA4956">
              <w:rPr>
                <w:rFonts w:ascii="Times New Roman" w:hAnsi="Times New Roman"/>
              </w:rPr>
              <w:t>rudimentary understanding of the primary focus of the task.</w:t>
            </w:r>
          </w:p>
        </w:tc>
      </w:tr>
    </w:tbl>
    <w:p w:rsidR="00CA4956" w:rsidRPr="00CA4956" w:rsidRDefault="00CA4956" w:rsidP="009462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A4956" w:rsidRPr="00CA4956" w:rsidSect="000A5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97" w:rsidRDefault="00BD4197" w:rsidP="003F4D1C">
      <w:pPr>
        <w:spacing w:after="0" w:line="240" w:lineRule="auto"/>
      </w:pPr>
      <w:r>
        <w:separator/>
      </w:r>
    </w:p>
  </w:endnote>
  <w:endnote w:type="continuationSeparator" w:id="0">
    <w:p w:rsidR="00BD4197" w:rsidRDefault="00BD419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692128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692128">
      <w:rPr>
        <w:rFonts w:ascii="Arial" w:hAnsi="Arial" w:cs="Arial"/>
        <w:b/>
        <w:i/>
        <w:iCs/>
        <w:sz w:val="18"/>
        <w:szCs w:val="18"/>
      </w:rPr>
      <w:t xml:space="preserve">Math Accelerated • </w:t>
    </w:r>
    <w:r w:rsidRPr="00692128">
      <w:rPr>
        <w:rFonts w:ascii="Arial" w:hAnsi="Arial" w:cs="Arial"/>
        <w:b/>
        <w:sz w:val="18"/>
        <w:szCs w:val="18"/>
      </w:rPr>
      <w:t>Chapter 5</w:t>
    </w:r>
    <w:r w:rsidRPr="00692128">
      <w:rPr>
        <w:rFonts w:ascii="Arial" w:hAnsi="Arial" w:cs="Arial"/>
        <w:sz w:val="18"/>
        <w:szCs w:val="18"/>
      </w:rPr>
      <w:t xml:space="preserve"> Ratio, Proportion, and Similar Figures</w:t>
    </w:r>
    <w:r w:rsidR="000A58EC">
      <w:rPr>
        <w:rFonts w:ascii="Arial" w:hAnsi="Arial" w:cs="Arial"/>
        <w:sz w:val="18"/>
        <w:szCs w:val="18"/>
      </w:rPr>
      <w:tab/>
    </w:r>
    <w:r w:rsidR="000A58EC" w:rsidRPr="000A58EC">
      <w:rPr>
        <w:rFonts w:ascii="Arial" w:hAnsi="Arial" w:cs="Arial"/>
        <w:b/>
        <w:sz w:val="24"/>
        <w:szCs w:val="18"/>
      </w:rPr>
      <w:t>113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97" w:rsidRDefault="00BD4197" w:rsidP="003F4D1C">
      <w:pPr>
        <w:spacing w:after="0" w:line="240" w:lineRule="auto"/>
      </w:pPr>
      <w:r>
        <w:separator/>
      </w:r>
    </w:p>
  </w:footnote>
  <w:footnote w:type="continuationSeparator" w:id="0">
    <w:p w:rsidR="00BD4197" w:rsidRDefault="00BD419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D346CF"/>
    <w:multiLevelType w:val="hybridMultilevel"/>
    <w:tmpl w:val="B1B2801E"/>
    <w:lvl w:ilvl="0" w:tplc="5B368DDC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3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8A76163"/>
    <w:multiLevelType w:val="hybridMultilevel"/>
    <w:tmpl w:val="43A6C074"/>
    <w:lvl w:ilvl="0" w:tplc="19FE66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5"/>
  </w:num>
  <w:num w:numId="5">
    <w:abstractNumId w:val="24"/>
  </w:num>
  <w:num w:numId="6">
    <w:abstractNumId w:val="13"/>
  </w:num>
  <w:num w:numId="7">
    <w:abstractNumId w:val="27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9"/>
  </w:num>
  <w:num w:numId="19">
    <w:abstractNumId w:val="26"/>
  </w:num>
  <w:num w:numId="20">
    <w:abstractNumId w:val="14"/>
  </w:num>
  <w:num w:numId="21">
    <w:abstractNumId w:val="1"/>
  </w:num>
  <w:num w:numId="22">
    <w:abstractNumId w:val="23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A58EC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95B88"/>
    <w:rsid w:val="002A1AA3"/>
    <w:rsid w:val="002A22AB"/>
    <w:rsid w:val="002A5632"/>
    <w:rsid w:val="002B0D3D"/>
    <w:rsid w:val="002B49E4"/>
    <w:rsid w:val="002B67E5"/>
    <w:rsid w:val="002C1C52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2634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92128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1C61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427A"/>
    <w:rsid w:val="008661C9"/>
    <w:rsid w:val="008708A6"/>
    <w:rsid w:val="00876368"/>
    <w:rsid w:val="00886A82"/>
    <w:rsid w:val="00890C03"/>
    <w:rsid w:val="00896F20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E59F2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4622A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9F02CB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579E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45D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197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A4956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66D00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5E98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2CA5-63C1-B141-A92D-0C6AE91D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2016-02-12T18:40:00Z</dcterms:created>
  <dcterms:modified xsi:type="dcterms:W3CDTF">2016-02-12T18:40:00Z</dcterms:modified>
</cp:coreProperties>
</file>